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74A" w:rsidRPr="0098480E" w:rsidRDefault="00116FC6" w:rsidP="009F7950">
      <w:pPr>
        <w:pStyle w:val="Heading110"/>
        <w:widowControl/>
        <w:shd w:val="clear" w:color="auto" w:fill="auto"/>
        <w:spacing w:after="0"/>
        <w:jc w:val="center"/>
        <w:rPr>
          <w:rFonts w:ascii="Times New Roman" w:hAnsi="Times New Roman" w:cs="Times New Roman"/>
          <w:sz w:val="32"/>
          <w:szCs w:val="32"/>
          <w:lang w:val="sl-SI"/>
        </w:rPr>
      </w:pPr>
      <w:r w:rsidRPr="0098480E">
        <w:rPr>
          <w:rFonts w:ascii="Times New Roman" w:hAnsi="Times New Roman" w:cs="Times New Roman"/>
          <w:sz w:val="32"/>
          <w:szCs w:val="32"/>
          <w:lang w:val="sl-SI"/>
        </w:rPr>
        <w:t>Simulacija podnebnega ukrepanja: Države, ki se hitro vzpenjajo</w:t>
      </w:r>
    </w:p>
    <w:p w:rsidR="0038574A" w:rsidRPr="0098480E" w:rsidRDefault="000461F3" w:rsidP="001D29D2">
      <w:pPr>
        <w:spacing w:line="402" w:lineRule="auto"/>
        <w:rPr>
          <w:sz w:val="22"/>
        </w:rPr>
      </w:pPr>
      <w:r w:rsidRPr="0098480E">
        <w:rPr>
          <w:sz w:val="22"/>
          <w:lang w:eastAsia="en-GB"/>
        </w:rPr>
        <mc:AlternateContent>
          <mc:Choice Requires="wps">
            <w:drawing>
              <wp:anchor distT="0" distB="0" distL="114300" distR="114300" simplePos="0" relativeHeight="251661312"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1F3" w:rsidRPr="0098480E" w:rsidRDefault="000461F3">
                            <w:pPr>
                              <w:jc w:val="center"/>
                              <w:rPr>
                                <w:rFonts w:ascii="Arial" w:hAnsi="Arial" w:cs="Arial"/>
                                <w:b/>
                                <w:bCs/>
                                <w:sz w:val="48"/>
                              </w:rPr>
                            </w:pPr>
                            <w:r w:rsidRPr="0098480E">
                              <w:rPr>
                                <w:rFonts w:ascii="Arial" w:hAnsi="Arial" w:cs="Arial"/>
                                <w:b/>
                                <w:bCs/>
                                <w:sz w:val="48"/>
                              </w:rPr>
                              <w:t>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6" type="#_x0000_t202" style="position:absolute;margin-left:533pt;margin-top:793.8pt;width:51pt;height:31.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eAMtgIAALk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dMHgDLYCAAC5&#10;BQAADgAAAAAAAAAAAAAAAAAuAgAAZHJzL2Uyb0RvYy54bWxQSwECLQAUAAYACAAAACEA61QxWt4A&#10;AAAPAQAADwAAAAAAAAAAAAAAAAAQBQAAZHJzL2Rvd25yZXYueG1sUEsFBgAAAAAEAAQA8wAAABsG&#10;AAAAAA==&#10;" o:allowincell="f" filled="f" stroked="f">
                <v:textbox>
                  <w:txbxContent>
                    <w:p w:rsidR="000461F3" w:rsidRPr="0098480E" w:rsidRDefault="000461F3">
                      <w:pPr>
                        <w:jc w:val="center"/>
                        <w:rPr>
                          <w:rFonts w:ascii="Arial" w:hAnsi="Arial" w:cs="Arial"/>
                          <w:b/>
                          <w:bCs/>
                          <w:sz w:val="48"/>
                        </w:rPr>
                      </w:pPr>
                      <w:r w:rsidRPr="0098480E">
                        <w:rPr>
                          <w:rFonts w:ascii="Arial" w:hAnsi="Arial" w:cs="Arial"/>
                          <w:b/>
                          <w:bCs/>
                          <w:sz w:val="48"/>
                        </w:rPr>
                        <w:t>SL</w:t>
                      </w:r>
                    </w:p>
                  </w:txbxContent>
                </v:textbox>
                <w10:wrap anchorx="page" anchory="page"/>
              </v:shape>
            </w:pict>
          </mc:Fallback>
        </mc:AlternateContent>
      </w:r>
    </w:p>
    <w:p w:rsidR="00116FC6" w:rsidRPr="0098480E" w:rsidRDefault="00116FC6" w:rsidP="009F7950">
      <w:pPr>
        <w:pStyle w:val="Heading110"/>
        <w:widowControl/>
        <w:spacing w:after="0"/>
        <w:rPr>
          <w:rFonts w:ascii="Times New Roman" w:hAnsi="Times New Roman" w:cs="Times New Roman"/>
          <w:sz w:val="22"/>
          <w:szCs w:val="22"/>
          <w:lang w:val="sl-SI"/>
        </w:rPr>
      </w:pPr>
      <w:r w:rsidRPr="0098480E">
        <w:rPr>
          <w:rFonts w:ascii="Times New Roman" w:hAnsi="Times New Roman" w:cs="Times New Roman"/>
          <w:sz w:val="22"/>
          <w:szCs w:val="22"/>
          <w:lang w:val="sl-SI" w:eastAsia="en-GB"/>
        </w:rPr>
        <w:drawing>
          <wp:anchor distT="0" distB="0" distL="63500" distR="103505" simplePos="0" relativeHeight="251659264" behindDoc="1" locked="0" layoutInCell="1" allowOverlap="1" wp14:anchorId="1BE9E3F0" wp14:editId="76DA2901">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r w:rsidRPr="0098480E">
        <w:rPr>
          <w:rFonts w:ascii="Times New Roman" w:hAnsi="Times New Roman" w:cs="Times New Roman"/>
          <w:sz w:val="22"/>
          <w:szCs w:val="22"/>
          <w:lang w:val="sl-SI"/>
        </w:rPr>
        <w:t>Naslovnik:</w:t>
      </w:r>
      <w:r w:rsidRPr="0098480E">
        <w:rPr>
          <w:rFonts w:ascii="Times New Roman" w:hAnsi="Times New Roman" w:cs="Times New Roman"/>
          <w:sz w:val="22"/>
          <w:szCs w:val="22"/>
          <w:lang w:val="sl-SI"/>
        </w:rPr>
        <w:tab/>
        <w:t>Glavni pogajalci držav, ki se hitro vzpenjajo</w:t>
      </w:r>
    </w:p>
    <w:p w:rsidR="00116FC6" w:rsidRPr="0098480E" w:rsidRDefault="00116FC6" w:rsidP="006E1126">
      <w:pPr>
        <w:widowControl/>
        <w:ind w:left="4253"/>
        <w:rPr>
          <w:sz w:val="22"/>
          <w:szCs w:val="22"/>
        </w:rPr>
      </w:pPr>
      <w:r w:rsidRPr="0098480E">
        <w:rPr>
          <w:sz w:val="22"/>
          <w:szCs w:val="22"/>
        </w:rPr>
        <w:t>(Kitajska, Indija, Indonezija, Brazilija, Mehika, Južna Afrika)</w:t>
      </w:r>
    </w:p>
    <w:p w:rsidR="006E1126" w:rsidRPr="0098480E" w:rsidRDefault="006E1126" w:rsidP="009F7950">
      <w:pPr>
        <w:widowControl/>
        <w:rPr>
          <w:sz w:val="22"/>
          <w:szCs w:val="22"/>
        </w:rPr>
      </w:pPr>
    </w:p>
    <w:p w:rsidR="00116FC6" w:rsidRPr="0098480E" w:rsidRDefault="00116FC6" w:rsidP="009F7950">
      <w:pPr>
        <w:pStyle w:val="Heading210"/>
        <w:widowControl/>
        <w:shd w:val="clear" w:color="auto" w:fill="auto"/>
        <w:tabs>
          <w:tab w:val="left" w:pos="994"/>
        </w:tabs>
        <w:spacing w:before="0"/>
        <w:rPr>
          <w:lang w:val="sl-SI"/>
        </w:rPr>
      </w:pPr>
      <w:r w:rsidRPr="0098480E">
        <w:rPr>
          <w:lang w:val="sl-SI"/>
        </w:rPr>
        <w:t>Zadeva:</w:t>
      </w:r>
      <w:r w:rsidRPr="0098480E">
        <w:rPr>
          <w:lang w:val="sl-SI"/>
        </w:rPr>
        <w:tab/>
      </w:r>
      <w:r w:rsidR="006E1126" w:rsidRPr="0098480E">
        <w:rPr>
          <w:lang w:val="sl-SI"/>
        </w:rPr>
        <w:tab/>
      </w:r>
      <w:r w:rsidRPr="0098480E">
        <w:rPr>
          <w:lang w:val="sl-SI"/>
        </w:rPr>
        <w:t>Priprava na vrh o podnebnih ukrepih</w:t>
      </w:r>
    </w:p>
    <w:p w:rsidR="00116FC6" w:rsidRPr="0098480E" w:rsidRDefault="00116FC6" w:rsidP="001D29D2">
      <w:pPr>
        <w:spacing w:line="244" w:lineRule="auto"/>
        <w:jc w:val="both"/>
        <w:rPr>
          <w:sz w:val="22"/>
        </w:rPr>
      </w:pPr>
    </w:p>
    <w:p w:rsidR="006A1F1C" w:rsidRPr="0098480E" w:rsidRDefault="006A1F1C" w:rsidP="001D29D2">
      <w:pPr>
        <w:spacing w:line="244" w:lineRule="auto"/>
        <w:jc w:val="both"/>
        <w:rPr>
          <w:sz w:val="22"/>
        </w:rPr>
      </w:pPr>
    </w:p>
    <w:p w:rsidR="00116FC6" w:rsidRPr="0098480E" w:rsidRDefault="00116FC6" w:rsidP="009F7950">
      <w:pPr>
        <w:widowControl/>
        <w:spacing w:line="269" w:lineRule="exact"/>
        <w:jc w:val="both"/>
        <w:rPr>
          <w:sz w:val="22"/>
          <w:szCs w:val="22"/>
        </w:rPr>
      </w:pPr>
      <w:r w:rsidRPr="0098480E">
        <w:rPr>
          <w:sz w:val="22"/>
          <w:szCs w:val="22"/>
        </w:rPr>
        <w:t xml:space="preserve">Dobrodošli na vrhu o podnebnih ukrepih. Generalni sekretar OZN vas je skupaj z voditelji vseh pomembnih deležnikov povabil k sodelovanju, da bi uspešno rešili vprašanje podnebnih sprememb. V vabilu je generalni </w:t>
      </w:r>
      <w:r w:rsidRPr="0098480E">
        <w:rPr>
          <w:color w:val="auto"/>
          <w:sz w:val="22"/>
          <w:szCs w:val="22"/>
        </w:rPr>
        <w:t xml:space="preserve">sekretar zapisal, da </w:t>
      </w:r>
      <w:r w:rsidRPr="0098480E">
        <w:rPr>
          <w:sz w:val="22"/>
          <w:szCs w:val="22"/>
        </w:rPr>
        <w:t>„je podnebna kriza tekma, ki jo izgubljamo, a hkrati tekma, ki jo lahko dobimo. [...] Najboljše znanstvene raziskave kažejo, da bo zvišanje temperature za več kot 1,5 °C povzročilo obsežno in nepopravljivo škodo ekosistemom, ki nas vzdržujejo. [...] A znanstveniki nam hkrati tudi sporočajo, da še ni prepozno. Lahko nam uspe [...], vendar bo za to treba temeljito preoblikovati vse vidike družbe – kako pridobivamo hrano in izkoriščamo zemljišča, katero gorivo uporabljajo naša vozila in kaj poganja naša gospodarstva. [...] Če bomo ukrepali skupaj, nihče ne bo zapostavljen.“</w:t>
      </w:r>
    </w:p>
    <w:p w:rsidR="007E2787" w:rsidRPr="0098480E" w:rsidRDefault="007E2787" w:rsidP="009F7950">
      <w:pPr>
        <w:widowControl/>
        <w:spacing w:line="269" w:lineRule="exact"/>
        <w:jc w:val="both"/>
        <w:rPr>
          <w:sz w:val="22"/>
          <w:szCs w:val="22"/>
        </w:rPr>
      </w:pPr>
    </w:p>
    <w:p w:rsidR="00116FC6" w:rsidRPr="0098480E" w:rsidRDefault="00116FC6" w:rsidP="009F7950">
      <w:pPr>
        <w:widowControl/>
        <w:spacing w:line="269" w:lineRule="exact"/>
        <w:jc w:val="both"/>
        <w:rPr>
          <w:sz w:val="22"/>
          <w:szCs w:val="22"/>
        </w:rPr>
      </w:pPr>
      <w:r w:rsidRPr="0098480E">
        <w:rPr>
          <w:sz w:val="22"/>
          <w:szCs w:val="22"/>
        </w:rPr>
        <w:t>Cilj vrha je pripraviti načrt za omejitev segrevanja planeta na manj kot 2 °C [3,6 °F] nad predindustrijsko ravnjo in si prizadevati za omejitev zvišanja temperature na 1,5 °C [2,7 °F], kar sta uradna mednarodna cilja iz Pariškega sporazuma o podnebnih spremembah</w:t>
      </w:r>
      <w:r w:rsidRPr="0098480E">
        <w:rPr>
          <w:color w:val="auto"/>
          <w:sz w:val="22"/>
          <w:szCs w:val="22"/>
        </w:rPr>
        <w:t>. Znanstveni dokazi so jasni</w:t>
      </w:r>
      <w:r w:rsidRPr="0098480E">
        <w:rPr>
          <w:sz w:val="22"/>
          <w:szCs w:val="22"/>
        </w:rPr>
        <w:t>: segrevanje nad to mejo bo sprožilo katastrofalne in nepopravljive posledice, ki bodo ogrozile zdravje, blaginjo in življenje ljudi v vseh državah.</w:t>
      </w:r>
    </w:p>
    <w:p w:rsidR="007E2787" w:rsidRPr="0098480E" w:rsidRDefault="007E2787" w:rsidP="009F7950">
      <w:pPr>
        <w:widowControl/>
        <w:spacing w:line="269" w:lineRule="exact"/>
        <w:jc w:val="both"/>
        <w:rPr>
          <w:sz w:val="22"/>
          <w:szCs w:val="22"/>
        </w:rPr>
      </w:pPr>
    </w:p>
    <w:p w:rsidR="00116FC6" w:rsidRPr="0098480E" w:rsidRDefault="00116FC6" w:rsidP="009F7950">
      <w:pPr>
        <w:widowControl/>
        <w:spacing w:line="269" w:lineRule="exact"/>
        <w:jc w:val="both"/>
        <w:rPr>
          <w:sz w:val="22"/>
          <w:szCs w:val="22"/>
        </w:rPr>
      </w:pPr>
      <w:r w:rsidRPr="0098480E">
        <w:rPr>
          <w:sz w:val="22"/>
          <w:szCs w:val="22"/>
        </w:rPr>
        <w:t>Zastopate največje države v razvoju, ki imajo največjo rast (navedene zgoraj). Skupno prebivalstvo vaših držav je skoraj 3,5 milijarde ljudi, kar je približno 45 % vseh 7,7 milijarde prebivalcev sveta. Vendar vaše države skupaj ustvarijo samo za približno 25 % svetovne gospodarske proizvodnje in imajo nižji BDP (bruto domači proizvod) na prebivalca in veliko več revščine kot razvite države.</w:t>
      </w:r>
    </w:p>
    <w:p w:rsidR="007E2787" w:rsidRPr="0098480E" w:rsidRDefault="007E2787" w:rsidP="009F7950">
      <w:pPr>
        <w:widowControl/>
        <w:spacing w:line="269" w:lineRule="exact"/>
        <w:jc w:val="both"/>
        <w:rPr>
          <w:sz w:val="22"/>
          <w:szCs w:val="22"/>
        </w:rPr>
      </w:pPr>
    </w:p>
    <w:p w:rsidR="00116FC6" w:rsidRPr="0098480E" w:rsidRDefault="00116FC6" w:rsidP="009F7950">
      <w:pPr>
        <w:widowControl/>
        <w:jc w:val="both"/>
        <w:rPr>
          <w:sz w:val="22"/>
          <w:szCs w:val="22"/>
        </w:rPr>
      </w:pPr>
      <w:r w:rsidRPr="0098480E">
        <w:rPr>
          <w:sz w:val="22"/>
          <w:szCs w:val="22"/>
        </w:rPr>
        <w:t>V nadaljevanju so naštete vaše prednostne politike – predlagate ali zavrnete lahko katero koli.</w:t>
      </w:r>
    </w:p>
    <w:p w:rsidR="007E2787" w:rsidRPr="0098480E" w:rsidRDefault="007E2787" w:rsidP="009F7950">
      <w:pPr>
        <w:widowControl/>
        <w:jc w:val="both"/>
        <w:rPr>
          <w:sz w:val="22"/>
          <w:szCs w:val="22"/>
        </w:rPr>
      </w:pPr>
    </w:p>
    <w:p w:rsidR="00116FC6" w:rsidRPr="0098480E" w:rsidRDefault="00116FC6" w:rsidP="00164D86">
      <w:pPr>
        <w:pStyle w:val="Heading210"/>
        <w:widowControl/>
        <w:numPr>
          <w:ilvl w:val="0"/>
          <w:numId w:val="2"/>
        </w:numPr>
        <w:shd w:val="clear" w:color="auto" w:fill="auto"/>
        <w:tabs>
          <w:tab w:val="left" w:pos="284"/>
        </w:tabs>
        <w:spacing w:before="0" w:line="269" w:lineRule="exact"/>
        <w:ind w:left="284" w:hanging="284"/>
        <w:rPr>
          <w:lang w:val="sl-SI"/>
        </w:rPr>
      </w:pPr>
      <w:r w:rsidRPr="0098480E">
        <w:rPr>
          <w:lang w:val="sl-SI"/>
        </w:rPr>
        <w:t>Subvencionirati je treba energijo iz obnovljivih virov (npr. sončno, vetrno, geotermalno in vodno energijo ter shranjevanje energije).</w:t>
      </w:r>
    </w:p>
    <w:p w:rsidR="007E2787" w:rsidRPr="0098480E" w:rsidRDefault="00116FC6" w:rsidP="00164D86">
      <w:pPr>
        <w:widowControl/>
        <w:tabs>
          <w:tab w:val="left" w:pos="284"/>
        </w:tabs>
        <w:spacing w:line="269" w:lineRule="exact"/>
        <w:ind w:left="284"/>
        <w:jc w:val="both"/>
        <w:rPr>
          <w:rStyle w:val="Bodytext20"/>
        </w:rPr>
      </w:pPr>
      <w:r w:rsidRPr="0098480E">
        <w:rPr>
          <w:rStyle w:val="Bodytext20"/>
        </w:rPr>
        <w:t>Industrija energije iz obnovljivih virov naglo raste, še vedno pa zagotavlja manj kot 5 % celotne svetovne oskrbe z energijo. Subvencije bodo tem panogam pomagale rasti in v vaših državah se bodo s tem odpirala nova delovna mesta (če vam uspe prehiteti izboljšave vetrne in sončne tehnologije ter tehnologije akumulatorjev v razvitih državah). Shranjevanje (npr. akumulatorji, hranilniki toplote, črpalne hidroelektrarne) in tehnologije pametnih omrežij za električno energijo omogočajo vključitev energije iz spremenljivih obnovljivih virov, kot sta veter in sonce, v energetski sistem, in neprekinjeno zagotavljanje električne energije.</w:t>
      </w:r>
    </w:p>
    <w:p w:rsidR="007E2787" w:rsidRPr="0098480E" w:rsidRDefault="007E2787" w:rsidP="009F7950">
      <w:pPr>
        <w:rPr>
          <w:color w:val="222222"/>
          <w:sz w:val="22"/>
          <w:szCs w:val="22"/>
        </w:rPr>
      </w:pPr>
    </w:p>
    <w:p w:rsidR="00116FC6" w:rsidRPr="0098480E" w:rsidRDefault="00116FC6" w:rsidP="00164D86">
      <w:pPr>
        <w:pStyle w:val="Heading210"/>
        <w:widowControl/>
        <w:numPr>
          <w:ilvl w:val="0"/>
          <w:numId w:val="2"/>
        </w:numPr>
        <w:shd w:val="clear" w:color="auto" w:fill="auto"/>
        <w:tabs>
          <w:tab w:val="left" w:pos="380"/>
        </w:tabs>
        <w:spacing w:before="0" w:line="269" w:lineRule="exact"/>
        <w:ind w:left="284" w:hanging="284"/>
        <w:rPr>
          <w:lang w:val="sl-SI"/>
        </w:rPr>
      </w:pPr>
      <w:r w:rsidRPr="0098480E">
        <w:rPr>
          <w:lang w:val="sl-SI"/>
        </w:rPr>
        <w:t xml:space="preserve">Zmanjšati je treba emisije metana, dušikovega oksida in drugih toplogrednih plinov. </w:t>
      </w:r>
      <w:r w:rsidRPr="0098480E">
        <w:rPr>
          <w:b w:val="0"/>
          <w:lang w:val="sl-SI"/>
        </w:rPr>
        <w:t>CO</w:t>
      </w:r>
      <w:r w:rsidRPr="0098480E">
        <w:rPr>
          <w:b w:val="0"/>
          <w:vertAlign w:val="subscript"/>
          <w:lang w:val="sl-SI"/>
        </w:rPr>
        <w:t>2</w:t>
      </w:r>
      <w:r w:rsidRPr="0098480E">
        <w:rPr>
          <w:b w:val="0"/>
          <w:lang w:val="sl-SI"/>
        </w:rPr>
        <w:t xml:space="preserve"> je najpomembnejši toplogredni plin, a tudi drugi plini povzročajo približno četrtino segrevanja planeta. Med temi so metan (CH</w:t>
      </w:r>
      <w:r w:rsidRPr="0098480E">
        <w:rPr>
          <w:b w:val="0"/>
          <w:vertAlign w:val="subscript"/>
          <w:lang w:val="sl-SI"/>
        </w:rPr>
        <w:t>4</w:t>
      </w:r>
      <w:r w:rsidRPr="0098480E">
        <w:rPr>
          <w:b w:val="0"/>
          <w:lang w:val="sl-SI"/>
        </w:rPr>
        <w:t>), dušikov oksid (N</w:t>
      </w:r>
      <w:r w:rsidRPr="0098480E">
        <w:rPr>
          <w:b w:val="0"/>
          <w:vertAlign w:val="subscript"/>
          <w:lang w:val="sl-SI"/>
        </w:rPr>
        <w:t>2</w:t>
      </w:r>
      <w:r w:rsidRPr="0098480E">
        <w:rPr>
          <w:b w:val="0"/>
          <w:lang w:val="sl-SI"/>
        </w:rPr>
        <w:t>O) ter najrazličnejši klorofluoroogljikovodiki in druge fluorirane spojine (t. i. fluorirani plini). Če primerjamo posamezne molekule, bodo številni plini, ki niso CO</w:t>
      </w:r>
      <w:r w:rsidRPr="0098480E">
        <w:rPr>
          <w:b w:val="0"/>
          <w:vertAlign w:val="subscript"/>
          <w:lang w:val="sl-SI"/>
        </w:rPr>
        <w:t>2</w:t>
      </w:r>
      <w:r w:rsidRPr="0098480E">
        <w:rPr>
          <w:b w:val="0"/>
          <w:lang w:val="sl-SI"/>
        </w:rPr>
        <w:t>, prispevali desetkrat, stokrat, celo tisočkrat več k segrevanju planeta v naslednjem stoletju kot CO</w:t>
      </w:r>
      <w:r w:rsidRPr="0098480E">
        <w:rPr>
          <w:b w:val="0"/>
          <w:vertAlign w:val="subscript"/>
          <w:lang w:val="sl-SI"/>
        </w:rPr>
        <w:t>2</w:t>
      </w:r>
      <w:r w:rsidRPr="0098480E">
        <w:rPr>
          <w:b w:val="0"/>
          <w:lang w:val="sl-SI"/>
        </w:rPr>
        <w:t>. Njihove koncentracije so sicer nizke, vendar naglo naraščajo.</w:t>
      </w:r>
    </w:p>
    <w:p w:rsidR="007E2787" w:rsidRPr="0098480E" w:rsidRDefault="007E2787" w:rsidP="001D29D2">
      <w:pPr>
        <w:spacing w:line="244" w:lineRule="auto"/>
        <w:jc w:val="both"/>
        <w:rPr>
          <w:sz w:val="22"/>
        </w:rPr>
      </w:pPr>
    </w:p>
    <w:p w:rsidR="00116FC6" w:rsidRPr="0098480E" w:rsidRDefault="00116FC6" w:rsidP="00164D86">
      <w:pPr>
        <w:widowControl/>
        <w:numPr>
          <w:ilvl w:val="0"/>
          <w:numId w:val="2"/>
        </w:numPr>
        <w:tabs>
          <w:tab w:val="left" w:pos="362"/>
        </w:tabs>
        <w:spacing w:line="269" w:lineRule="exact"/>
        <w:ind w:left="284" w:hanging="284"/>
        <w:jc w:val="both"/>
        <w:rPr>
          <w:sz w:val="22"/>
          <w:szCs w:val="22"/>
        </w:rPr>
      </w:pPr>
      <w:r w:rsidRPr="0098480E">
        <w:rPr>
          <w:rStyle w:val="Bodytext2Bold"/>
        </w:rPr>
        <w:t xml:space="preserve">Zmanjšati je treba krčenje gozdov. </w:t>
      </w:r>
      <w:r w:rsidRPr="0098480E">
        <w:rPr>
          <w:sz w:val="22"/>
          <w:szCs w:val="22"/>
        </w:rPr>
        <w:t>Krčenje gozdov trenutno povzroča približno 15 % svetovnih emisij toplogrednih plinov. Večinoma se gozd krči v tropskih gozdovih vaših držav, vključno s porečjem Amazonke, Kitajsko, Indijo in Indonezijo. Z ohranjanjem gozdov lahko te emisije zmanjšamo, hkrati pa zavarujemo tudi biotsko raznovrstnost in oskrbo z vodo. Omejevanje krčenja gozdov pa zmanjšuje tudi potencialno uporabo teh zemljišč za sečnjo, proizvodnjo hrane in druge pomembne možnosti njihove uporabe.</w:t>
      </w:r>
    </w:p>
    <w:p w:rsidR="007E2787" w:rsidRPr="0098480E" w:rsidRDefault="007E2787" w:rsidP="009F7950">
      <w:pPr>
        <w:rPr>
          <w:sz w:val="22"/>
          <w:szCs w:val="22"/>
        </w:rPr>
      </w:pPr>
    </w:p>
    <w:p w:rsidR="00116FC6" w:rsidRPr="0098480E" w:rsidRDefault="00116FC6" w:rsidP="00164D86">
      <w:pPr>
        <w:widowControl/>
        <w:numPr>
          <w:ilvl w:val="0"/>
          <w:numId w:val="2"/>
        </w:numPr>
        <w:tabs>
          <w:tab w:val="left" w:pos="362"/>
        </w:tabs>
        <w:spacing w:line="269" w:lineRule="exact"/>
        <w:ind w:left="284" w:hanging="284"/>
        <w:jc w:val="both"/>
        <w:rPr>
          <w:sz w:val="22"/>
          <w:szCs w:val="22"/>
        </w:rPr>
      </w:pPr>
      <w:r w:rsidRPr="0098480E">
        <w:rPr>
          <w:rStyle w:val="Bodytext2Bold"/>
        </w:rPr>
        <w:t xml:space="preserve">Razmisliti je treba o pogozdovanju. </w:t>
      </w:r>
      <w:r w:rsidRPr="0098480E">
        <w:rPr>
          <w:sz w:val="22"/>
          <w:szCs w:val="22"/>
        </w:rPr>
        <w:t>Pogozdovanje pomeni rast novih gozdov na prej golih zemljiščih – včasih gre za zemljišča, kjer je bil gozd izkrčen, ali degradirana zemljišča. Če se pogozdovanje opravi v velikem obsegu, to lahko pomeni, da se uporabijo zemljišča, ki bi jih potrebovali za pridelavo poljščin ali živinorejo, zaradi česar bi se zvišale cene živil. Pomislite, koliko zemljišč bi bilo potrebnih za politike pogozdovanja, ki jih predlagate vi in druge skupine.</w:t>
      </w:r>
    </w:p>
    <w:p w:rsidR="007E2787" w:rsidRPr="0098480E" w:rsidRDefault="007E2787" w:rsidP="009F7950">
      <w:pPr>
        <w:rPr>
          <w:sz w:val="22"/>
          <w:szCs w:val="22"/>
        </w:rPr>
      </w:pPr>
    </w:p>
    <w:p w:rsidR="00116FC6" w:rsidRPr="0098480E" w:rsidRDefault="00116FC6" w:rsidP="00164D86">
      <w:pPr>
        <w:widowControl/>
        <w:numPr>
          <w:ilvl w:val="0"/>
          <w:numId w:val="2"/>
        </w:numPr>
        <w:tabs>
          <w:tab w:val="left" w:pos="362"/>
        </w:tabs>
        <w:spacing w:line="269" w:lineRule="exact"/>
        <w:ind w:left="284" w:hanging="284"/>
        <w:jc w:val="both"/>
        <w:rPr>
          <w:sz w:val="22"/>
          <w:szCs w:val="22"/>
        </w:rPr>
      </w:pPr>
      <w:r w:rsidRPr="0098480E">
        <w:rPr>
          <w:b/>
          <w:sz w:val="22"/>
          <w:szCs w:val="22"/>
        </w:rPr>
        <w:t>Razmisliti je treba o določitvi cene za emisije CO</w:t>
      </w:r>
      <w:r w:rsidRPr="0098480E">
        <w:rPr>
          <w:b/>
          <w:sz w:val="22"/>
          <w:szCs w:val="22"/>
          <w:vertAlign w:val="subscript"/>
        </w:rPr>
        <w:t>2</w:t>
      </w:r>
      <w:r w:rsidRPr="0098480E">
        <w:rPr>
          <w:b/>
          <w:sz w:val="22"/>
          <w:szCs w:val="22"/>
        </w:rPr>
        <w:t>.</w:t>
      </w:r>
      <w:r w:rsidRPr="0098480E">
        <w:rPr>
          <w:sz w:val="22"/>
          <w:szCs w:val="22"/>
        </w:rPr>
        <w:t xml:space="preserve"> Fosilna goriva še vedno prevladujejo v svetovnem energetskem sistemu in emisije CO</w:t>
      </w:r>
      <w:r w:rsidRPr="0098480E">
        <w:rPr>
          <w:sz w:val="22"/>
          <w:szCs w:val="22"/>
          <w:vertAlign w:val="subscript"/>
        </w:rPr>
        <w:t>2</w:t>
      </w:r>
      <w:r w:rsidRPr="0098480E">
        <w:rPr>
          <w:sz w:val="22"/>
          <w:szCs w:val="22"/>
        </w:rPr>
        <w:t>, ki jih ustvarjajo, so zdaleč največji vir emisij toplogrednih plinov, ki prispevajo k podnebnim spremembam. Sedanje tržne cene ne vključujejo okoljske in družbene škode, ki jo povzročajo fosilna goriva (njihovih negativnih zunanjih učinkov). Kar je še huje, industrijska panoga fosilnih goriv od vlad po svetu, med katerimi je tudi veliko vaših držav, letno prejme subvencije v višini od 775 milijard do 1 bilijona USD. Ekonomisti se strinjajo, da je cena ogljika najboljši način za zmanjšanje svetovnih emisij toplogrednih plinov. Razmislite o določitvi cene za ogljik, ki bi se morda uvajala postopoma, da bi se industrija in potrošniki imeli čas prilagoditi. Prihodke bi lahko namenili prebivalcem, lahko bi z njimi delno izravnali stroške drugih politik ali zmanjšali svoj fiskalni primanjkljaj. V nekaterih od vaših držav so že uvedli cene ogljika ali zmanjšali subvencije za fosilna goriva, vendar so te cene bistveno nižje od 30–50 USD ali več na tono CO</w:t>
      </w:r>
      <w:r w:rsidRPr="0098480E">
        <w:rPr>
          <w:sz w:val="22"/>
          <w:szCs w:val="22"/>
          <w:vertAlign w:val="subscript"/>
        </w:rPr>
        <w:t>2</w:t>
      </w:r>
      <w:r w:rsidRPr="0098480E">
        <w:rPr>
          <w:sz w:val="22"/>
          <w:szCs w:val="22"/>
        </w:rPr>
        <w:t>, kar priporočajo številni ekonomisti. Kitajska na trgu ogljika uvaja vsedržavni sistem „trgovanja s pokrovom“, ki bo zvišal ceno emisij CO</w:t>
      </w:r>
      <w:r w:rsidRPr="0098480E">
        <w:rPr>
          <w:sz w:val="22"/>
          <w:szCs w:val="22"/>
          <w:vertAlign w:val="subscript"/>
        </w:rPr>
        <w:t>2</w:t>
      </w:r>
      <w:r w:rsidRPr="0098480E">
        <w:rPr>
          <w:sz w:val="22"/>
          <w:szCs w:val="22"/>
        </w:rPr>
        <w:t>, druge države v vaši skupini pa tega še niso storile. Ne morete pa si privoščiti prehitrih sprememb – v vaših državah si srednji sloji prizadevajo, da bi dobili proizvode in storitve, ki jih imajo ljudje v razvitih državah za samoumevne: avtomobile, klimatske naprave, potovanja z letalom ipd., revni pa si želijo zanesljivo oskrbo z električno energijo, čisto vodo, hrano, zdravstveno oskrbo, dostojna stanovanja in zadovoljitev drugih osnovnih človeških potreb. Zvišanje cen energije bodo močno občutili.</w:t>
      </w:r>
    </w:p>
    <w:p w:rsidR="007E2787" w:rsidRPr="0098480E" w:rsidRDefault="007E2787" w:rsidP="009F7950">
      <w:pPr>
        <w:rPr>
          <w:sz w:val="22"/>
          <w:szCs w:val="22"/>
        </w:rPr>
      </w:pPr>
    </w:p>
    <w:p w:rsidR="00116FC6" w:rsidRPr="0098480E" w:rsidRDefault="00116FC6" w:rsidP="00164D86">
      <w:pPr>
        <w:widowControl/>
        <w:numPr>
          <w:ilvl w:val="0"/>
          <w:numId w:val="2"/>
        </w:numPr>
        <w:tabs>
          <w:tab w:val="left" w:pos="362"/>
        </w:tabs>
        <w:spacing w:line="269" w:lineRule="exact"/>
        <w:ind w:left="284" w:hanging="284"/>
        <w:jc w:val="both"/>
        <w:rPr>
          <w:sz w:val="22"/>
          <w:szCs w:val="22"/>
        </w:rPr>
      </w:pPr>
      <w:r w:rsidRPr="0098480E">
        <w:rPr>
          <w:rStyle w:val="Bodytext2Bold"/>
        </w:rPr>
        <w:t xml:space="preserve">Razmisliti je treba o davkih na premog. </w:t>
      </w:r>
      <w:r w:rsidRPr="0098480E">
        <w:rPr>
          <w:sz w:val="22"/>
          <w:szCs w:val="22"/>
        </w:rPr>
        <w:t>Številne od vaših držav še vedno gradijo nove premogovnike in termoelektrarne, čeprav je premog ogljično najbolj intenzivno gorivo in tudi najbolj onesnažuje zrak, kar danes škodi zdravju milijonov ljudi v vaših državah. Z obdavčitvijo, ureditvijo s predpisi ali celo postopnim opuščanjem premoga bi se emisije naglo znižale, zmanjšala bi se nevarna onesnaženost zraka in izboljšalo javno zdravje.</w:t>
      </w:r>
    </w:p>
    <w:p w:rsidR="007E2787" w:rsidRPr="0098480E" w:rsidRDefault="007E2787" w:rsidP="009F7950">
      <w:pPr>
        <w:rPr>
          <w:sz w:val="22"/>
          <w:szCs w:val="22"/>
        </w:rPr>
      </w:pPr>
    </w:p>
    <w:p w:rsidR="00116FC6" w:rsidRPr="0098480E" w:rsidRDefault="00116FC6" w:rsidP="009F7950">
      <w:pPr>
        <w:pStyle w:val="Bodytext50"/>
        <w:widowControl/>
        <w:shd w:val="clear" w:color="auto" w:fill="auto"/>
        <w:spacing w:before="0" w:after="0"/>
        <w:rPr>
          <w:lang w:val="sl-SI"/>
        </w:rPr>
      </w:pPr>
      <w:r w:rsidRPr="0098480E">
        <w:rPr>
          <w:lang w:val="sl-SI"/>
        </w:rPr>
        <w:t>Dodatni poudarki</w:t>
      </w:r>
    </w:p>
    <w:p w:rsidR="007E2787" w:rsidRPr="0098480E" w:rsidRDefault="007E2787" w:rsidP="001D29D2">
      <w:pPr>
        <w:spacing w:line="244" w:lineRule="auto"/>
        <w:rPr>
          <w:sz w:val="22"/>
        </w:rPr>
      </w:pPr>
    </w:p>
    <w:p w:rsidR="00116FC6" w:rsidRPr="0098480E" w:rsidRDefault="00116FC6" w:rsidP="009F7950">
      <w:pPr>
        <w:widowControl/>
        <w:spacing w:line="269" w:lineRule="exact"/>
        <w:jc w:val="both"/>
        <w:rPr>
          <w:sz w:val="22"/>
          <w:szCs w:val="22"/>
        </w:rPr>
      </w:pPr>
      <w:bookmarkStart w:id="0" w:name="_GoBack"/>
      <w:bookmarkEnd w:id="0"/>
      <w:r w:rsidRPr="0098480E">
        <w:rPr>
          <w:sz w:val="22"/>
          <w:szCs w:val="22"/>
        </w:rPr>
        <w:t>Za vaša gospodarstva je to čas konfliktov in protitokov. Vse vaše države so močno odvisne od fosilnih goriv, tudi od premoga, in ustvarijo približno 40 % sedanjih svetovnih emisij toplogrednih plinov. Kitajska sama ustvari za približno 28 % emisij. Vaše in druge države v razvoju skupaj danes ustvarijo približno 64 % svetovnih emisij, čeprav je količina emisij na prebivalca v vaših državah nižja kot v razvitih državah. Razvite države pa so tiste, ki so ustvarile večino kumulativnih emisij toplogrednih plinov, ki so povzročile podnebno krizo. Prepričani ste, da morajo te države pokazati moralno odgovornost in zmanjšati emisije in da politike za boj proti podnebnim spremembam ne smejo upočasniti vašega gospodarskega razvoja in prizadevanj, da bi več sto milijonov prebivalcev rešili revščine.</w:t>
      </w:r>
    </w:p>
    <w:p w:rsidR="007E2787" w:rsidRPr="0098480E" w:rsidRDefault="007E2787" w:rsidP="009F7950">
      <w:pPr>
        <w:widowControl/>
        <w:spacing w:line="269" w:lineRule="exact"/>
        <w:jc w:val="both"/>
        <w:rPr>
          <w:sz w:val="22"/>
          <w:szCs w:val="22"/>
        </w:rPr>
      </w:pPr>
    </w:p>
    <w:p w:rsidR="00116FC6" w:rsidRPr="0098480E" w:rsidRDefault="00116FC6" w:rsidP="009F7950">
      <w:pPr>
        <w:widowControl/>
        <w:spacing w:line="269" w:lineRule="exact"/>
        <w:jc w:val="both"/>
        <w:rPr>
          <w:sz w:val="22"/>
          <w:szCs w:val="22"/>
        </w:rPr>
      </w:pPr>
      <w:r w:rsidRPr="0098480E">
        <w:rPr>
          <w:sz w:val="22"/>
          <w:szCs w:val="22"/>
        </w:rPr>
        <w:t>Hkrati priznavate, da podnebne spremembe močno ogrožajo blaginjo, zdravje in življenje vaših prebivalcev. Onesnaženost zraka zaradi fosilnih goriv je kriva za to, da v vaših državah vsako leto hudo zboli ali prezgodaj umre več milijonov ljudi. Dvig morske gladine, skrajni vremenski pojavi, suše, zmanjševanje pridelka in druge škodljive posledice podnebnih sprememb so vse pogosteje povod za konflikte in migracije ter ogrožajo vašo nacionalno varnost in legitimnost vaših vlad.</w:t>
      </w:r>
    </w:p>
    <w:p w:rsidR="007E2787" w:rsidRPr="0098480E" w:rsidRDefault="007E2787" w:rsidP="009F7950">
      <w:pPr>
        <w:widowControl/>
        <w:spacing w:line="269" w:lineRule="exact"/>
        <w:jc w:val="both"/>
        <w:rPr>
          <w:sz w:val="22"/>
          <w:szCs w:val="22"/>
        </w:rPr>
      </w:pPr>
    </w:p>
    <w:p w:rsidR="00116FC6" w:rsidRPr="0098480E" w:rsidRDefault="00116FC6" w:rsidP="009F7950">
      <w:pPr>
        <w:widowControl/>
        <w:spacing w:line="269" w:lineRule="exact"/>
        <w:jc w:val="both"/>
        <w:rPr>
          <w:sz w:val="22"/>
          <w:szCs w:val="22"/>
        </w:rPr>
      </w:pPr>
      <w:r w:rsidRPr="0098480E">
        <w:rPr>
          <w:sz w:val="22"/>
          <w:szCs w:val="22"/>
        </w:rPr>
        <w:t>Industrija fosilnih goriv nasprotuje spremembam, a vaše države in podjetja ugotavljajo, da podnebju prijazne politike lahko koristijo vašim gospodarstvom. Energetska učinkovitost in obnovljivi viri energije, kot sta veter in sonce, so pogosto dobičkonosni, ustvarjajo delovna mesta in izboljšajo javno zdravje. Tudi če še naprej gradite termoelektrarne, pa hkrati tekmujete z razvitimi državami, kdo bo prevladal na naglo rastočem trgu energije iz obnovljivih virov, električnih vozil ter učinkovitih stavb in industrijskih procesov.</w:t>
      </w:r>
    </w:p>
    <w:p w:rsidR="007E2787" w:rsidRPr="0098480E" w:rsidRDefault="007E2787" w:rsidP="009F7950">
      <w:pPr>
        <w:widowControl/>
        <w:spacing w:line="269" w:lineRule="exact"/>
        <w:jc w:val="both"/>
        <w:rPr>
          <w:sz w:val="22"/>
          <w:szCs w:val="22"/>
        </w:rPr>
      </w:pPr>
    </w:p>
    <w:p w:rsidR="00116FC6" w:rsidRPr="0098480E" w:rsidRDefault="00116FC6" w:rsidP="009F7950">
      <w:pPr>
        <w:jc w:val="center"/>
        <w:rPr>
          <w:sz w:val="22"/>
          <w:szCs w:val="22"/>
        </w:rPr>
      </w:pPr>
      <w:r w:rsidRPr="0098480E">
        <w:rPr>
          <w:sz w:val="22"/>
          <w:szCs w:val="22"/>
        </w:rPr>
        <w:t>_____________</w:t>
      </w:r>
    </w:p>
    <w:p w:rsidR="00474E33" w:rsidRPr="0098480E" w:rsidRDefault="00474E33" w:rsidP="009F7950">
      <w:pPr>
        <w:rPr>
          <w:sz w:val="22"/>
          <w:szCs w:val="22"/>
        </w:rPr>
      </w:pPr>
    </w:p>
    <w:sectPr w:rsidR="00474E33" w:rsidRPr="0098480E" w:rsidSect="0098480E">
      <w:footerReference w:type="default" r:id="rId8"/>
      <w:pgSz w:w="11907" w:h="16840" w:code="9"/>
      <w:pgMar w:top="1418" w:right="1418" w:bottom="1418" w:left="1418" w:header="709" w:footer="709"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FC6" w:rsidRDefault="00116FC6">
      <w:r>
        <w:separator/>
      </w:r>
    </w:p>
  </w:endnote>
  <w:endnote w:type="continuationSeparator" w:id="0">
    <w:p w:rsidR="00116FC6" w:rsidRDefault="00116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80E" w:rsidRPr="00CD0414" w:rsidRDefault="0098480E" w:rsidP="0098480E">
    <w:pPr>
      <w:pStyle w:val="Footer"/>
      <w:jc w:val="both"/>
      <w:rPr>
        <w:i/>
        <w:sz w:val="20"/>
        <w:szCs w:val="20"/>
      </w:rPr>
    </w:pPr>
    <w:r>
      <w:rPr>
        <w:i/>
        <w:sz w:val="20"/>
        <w:szCs w:val="20"/>
      </w:rPr>
      <w:t xml:space="preserve">Razvili: Climate Interactive, MIT Sloan School of Management Sustainability Initiative, ESB Business School in UMass Lowell Climate Change Initiative. Zadnja posodobitev: avgust 2019. </w:t>
    </w:r>
    <w:hyperlink r:id="rId1" w:history="1">
      <w:r>
        <w:rPr>
          <w:i/>
          <w:sz w:val="20"/>
          <w:szCs w:val="20"/>
        </w:rPr>
        <w:t>www.climateinteractive.org</w:t>
      </w:r>
    </w:hyperlink>
  </w:p>
  <w:p w:rsidR="0098480E" w:rsidRDefault="0098480E" w:rsidP="0098480E">
    <w:pPr>
      <w:pStyle w:val="Footer"/>
    </w:pPr>
  </w:p>
  <w:p w:rsidR="00A27D58" w:rsidRPr="0098480E" w:rsidRDefault="0098480E" w:rsidP="0098480E">
    <w:pPr>
      <w:pStyle w:val="Footer"/>
    </w:pPr>
    <w:r>
      <w:t xml:space="preserve">EESC-2019-05163-07-00-INFO-TRA (EN) </w:t>
    </w:r>
    <w:r>
      <w:fldChar w:fldCharType="begin"/>
    </w:r>
    <w:r>
      <w:instrText xml:space="preserve"> PAGE  \* Arabic  \* MERGEFORMAT </w:instrText>
    </w:r>
    <w:r>
      <w:fldChar w:fldCharType="separate"/>
    </w:r>
    <w:r w:rsidR="00164D86">
      <w:rPr>
        <w:noProof/>
      </w:rPr>
      <w:t>3</w:t>
    </w:r>
    <w:r>
      <w:fldChar w:fldCharType="end"/>
    </w:r>
    <w:r>
      <w:t>/</w:t>
    </w:r>
    <w:r>
      <w:fldChar w:fldCharType="begin"/>
    </w:r>
    <w:r>
      <w:instrText xml:space="preserve"> = </w:instrText>
    </w:r>
    <w:r>
      <w:fldChar w:fldCharType="begin"/>
    </w:r>
    <w:r>
      <w:instrText xml:space="preserve"> NUMPAGES </w:instrText>
    </w:r>
    <w:r>
      <w:fldChar w:fldCharType="separate"/>
    </w:r>
    <w:r w:rsidR="00164D86">
      <w:rPr>
        <w:noProof/>
      </w:rPr>
      <w:instrText>3</w:instrText>
    </w:r>
    <w:r>
      <w:fldChar w:fldCharType="end"/>
    </w:r>
    <w:r>
      <w:instrText xml:space="preserve"> -0 </w:instrText>
    </w:r>
    <w:r>
      <w:fldChar w:fldCharType="separate"/>
    </w:r>
    <w:r w:rsidR="00164D86">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FC6" w:rsidRDefault="00116FC6">
      <w:r>
        <w:separator/>
      </w:r>
    </w:p>
  </w:footnote>
  <w:footnote w:type="continuationSeparator" w:id="0">
    <w:p w:rsidR="00116FC6" w:rsidRDefault="00116F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6B3C3391"/>
    <w:multiLevelType w:val="multilevel"/>
    <w:tmpl w:val="DAD486DA"/>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10"/>
  <w:drawingGridVerticalSpacing w:val="299"/>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FC6"/>
    <w:rsid w:val="00005DE0"/>
    <w:rsid w:val="000461F3"/>
    <w:rsid w:val="00116FC6"/>
    <w:rsid w:val="00164D86"/>
    <w:rsid w:val="001D29D2"/>
    <w:rsid w:val="00373CFB"/>
    <w:rsid w:val="0038574A"/>
    <w:rsid w:val="00463470"/>
    <w:rsid w:val="00474E33"/>
    <w:rsid w:val="00525110"/>
    <w:rsid w:val="006807C0"/>
    <w:rsid w:val="006A1F1C"/>
    <w:rsid w:val="006E1126"/>
    <w:rsid w:val="007E2787"/>
    <w:rsid w:val="00815995"/>
    <w:rsid w:val="008B2610"/>
    <w:rsid w:val="008C2057"/>
    <w:rsid w:val="009441C7"/>
    <w:rsid w:val="0098480E"/>
    <w:rsid w:val="009A6695"/>
    <w:rsid w:val="009F7950"/>
    <w:rsid w:val="00A46ADA"/>
    <w:rsid w:val="00BE33B4"/>
    <w:rsid w:val="00D01AED"/>
    <w:rsid w:val="00F4433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8FFB47"/>
  <w15:docId w15:val="{3176FBE9-F76F-4A25-AE75-A2BB0CBEB85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line="288"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FC6"/>
    <w:pPr>
      <w:widowControl w:val="0"/>
      <w:spacing w:line="240" w:lineRule="auto"/>
      <w:jc w:val="left"/>
    </w:pPr>
    <w:rPr>
      <w:color w:val="000000"/>
      <w:sz w:val="24"/>
      <w:szCs w:val="24"/>
      <w:lang w:val="sl-SI" w:bidi="en-US"/>
    </w:rPr>
  </w:style>
  <w:style w:type="paragraph" w:styleId="Heading1">
    <w:name w:val="heading 1"/>
    <w:basedOn w:val="Normal"/>
    <w:next w:val="Normal"/>
    <w:qFormat/>
    <w:rsid w:val="00F44330"/>
    <w:pPr>
      <w:numPr>
        <w:numId w:val="1"/>
      </w:numPr>
      <w:ind w:left="567" w:hanging="567"/>
      <w:outlineLvl w:val="0"/>
    </w:pPr>
    <w:rPr>
      <w:kern w:val="28"/>
    </w:rPr>
  </w:style>
  <w:style w:type="paragraph" w:styleId="Heading2">
    <w:name w:val="heading 2"/>
    <w:basedOn w:val="Normal"/>
    <w:next w:val="Normal"/>
    <w:qFormat/>
    <w:rsid w:val="00F44330"/>
    <w:pPr>
      <w:numPr>
        <w:ilvl w:val="1"/>
        <w:numId w:val="1"/>
      </w:numPr>
      <w:ind w:left="567" w:hanging="567"/>
      <w:outlineLvl w:val="1"/>
    </w:pPr>
  </w:style>
  <w:style w:type="paragraph" w:styleId="Heading3">
    <w:name w:val="heading 3"/>
    <w:basedOn w:val="Normal"/>
    <w:next w:val="Normal"/>
    <w:qFormat/>
    <w:rsid w:val="00F44330"/>
    <w:pPr>
      <w:numPr>
        <w:ilvl w:val="2"/>
        <w:numId w:val="1"/>
      </w:numPr>
      <w:ind w:left="567" w:hanging="567"/>
      <w:outlineLvl w:val="2"/>
    </w:pPr>
  </w:style>
  <w:style w:type="paragraph" w:styleId="Heading4">
    <w:name w:val="heading 4"/>
    <w:basedOn w:val="Normal"/>
    <w:next w:val="Normal"/>
    <w:qFormat/>
    <w:rsid w:val="00F44330"/>
    <w:pPr>
      <w:numPr>
        <w:ilvl w:val="3"/>
        <w:numId w:val="1"/>
      </w:numPr>
      <w:ind w:left="567" w:hanging="567"/>
      <w:outlineLvl w:val="3"/>
    </w:pPr>
  </w:style>
  <w:style w:type="paragraph" w:styleId="Heading5">
    <w:name w:val="heading 5"/>
    <w:basedOn w:val="Normal"/>
    <w:next w:val="Normal"/>
    <w:qFormat/>
    <w:rsid w:val="00F44330"/>
    <w:pPr>
      <w:numPr>
        <w:ilvl w:val="4"/>
        <w:numId w:val="1"/>
      </w:numPr>
      <w:ind w:left="567" w:hanging="567"/>
      <w:outlineLvl w:val="4"/>
    </w:pPr>
  </w:style>
  <w:style w:type="paragraph" w:styleId="Heading6">
    <w:name w:val="heading 6"/>
    <w:basedOn w:val="Normal"/>
    <w:next w:val="Normal"/>
    <w:qFormat/>
    <w:rsid w:val="00F44330"/>
    <w:pPr>
      <w:numPr>
        <w:ilvl w:val="5"/>
        <w:numId w:val="1"/>
      </w:numPr>
      <w:ind w:left="567" w:hanging="567"/>
      <w:outlineLvl w:val="5"/>
    </w:pPr>
  </w:style>
  <w:style w:type="paragraph" w:styleId="Heading7">
    <w:name w:val="heading 7"/>
    <w:basedOn w:val="Normal"/>
    <w:next w:val="Normal"/>
    <w:qFormat/>
    <w:rsid w:val="00F44330"/>
    <w:pPr>
      <w:numPr>
        <w:ilvl w:val="6"/>
        <w:numId w:val="1"/>
      </w:numPr>
      <w:ind w:left="567" w:hanging="567"/>
      <w:outlineLvl w:val="6"/>
    </w:pPr>
  </w:style>
  <w:style w:type="paragraph" w:styleId="Heading8">
    <w:name w:val="heading 8"/>
    <w:basedOn w:val="Normal"/>
    <w:next w:val="Normal"/>
    <w:qFormat/>
    <w:rsid w:val="00F44330"/>
    <w:pPr>
      <w:numPr>
        <w:ilvl w:val="7"/>
        <w:numId w:val="1"/>
      </w:numPr>
      <w:ind w:left="567" w:hanging="567"/>
      <w:outlineLvl w:val="7"/>
    </w:pPr>
  </w:style>
  <w:style w:type="paragraph" w:styleId="Heading9">
    <w:name w:val="heading 9"/>
    <w:basedOn w:val="Normal"/>
    <w:next w:val="Normal"/>
    <w:qFormat/>
    <w:rsid w:val="00F44330"/>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style>
  <w:style w:type="paragraph" w:styleId="FootnoteText">
    <w:name w:val="footnote text"/>
    <w:basedOn w:val="Normal"/>
    <w:qFormat/>
    <w:rsid w:val="00F44330"/>
    <w:pPr>
      <w:keepLines/>
      <w:spacing w:after="60"/>
      <w:ind w:left="567" w:hanging="567"/>
    </w:pPr>
    <w:rPr>
      <w:sz w:val="16"/>
    </w:rPr>
  </w:style>
  <w:style w:type="paragraph" w:styleId="Header">
    <w:name w:val="header"/>
    <w:basedOn w:val="Normal"/>
    <w:qFormat/>
  </w:style>
  <w:style w:type="paragraph" w:customStyle="1" w:styleId="quotes">
    <w:name w:val="quotes"/>
    <w:basedOn w:val="Normal"/>
    <w:next w:val="Normal"/>
    <w:rsid w:val="009A6695"/>
    <w:pPr>
      <w:ind w:left="720"/>
    </w:pPr>
    <w:rPr>
      <w:i/>
    </w:rPr>
  </w:style>
  <w:style w:type="character" w:styleId="FootnoteReference">
    <w:name w:val="footnote reference"/>
    <w:basedOn w:val="DefaultParagraphFont"/>
    <w:unhideWhenUsed/>
    <w:qFormat/>
    <w:rPr>
      <w:sz w:val="24"/>
      <w:vertAlign w:val="superscript"/>
    </w:rPr>
  </w:style>
  <w:style w:type="character" w:customStyle="1" w:styleId="Heading11">
    <w:name w:val="Heading #1|1_"/>
    <w:basedOn w:val="DefaultParagraphFont"/>
    <w:link w:val="Heading110"/>
    <w:rsid w:val="00116FC6"/>
    <w:rPr>
      <w:rFonts w:ascii="Arial" w:eastAsia="Arial" w:hAnsi="Arial" w:cs="Arial"/>
      <w:b/>
      <w:bCs/>
      <w:sz w:val="36"/>
      <w:szCs w:val="36"/>
      <w:shd w:val="clear" w:color="auto" w:fill="FFFFFF"/>
    </w:rPr>
  </w:style>
  <w:style w:type="character" w:customStyle="1" w:styleId="Heading21">
    <w:name w:val="Heading #2|1_"/>
    <w:basedOn w:val="DefaultParagraphFont"/>
    <w:link w:val="Heading210"/>
    <w:rsid w:val="00116FC6"/>
    <w:rPr>
      <w:b/>
      <w:bCs/>
      <w:shd w:val="clear" w:color="auto" w:fill="FFFFFF"/>
    </w:rPr>
  </w:style>
  <w:style w:type="character" w:customStyle="1" w:styleId="Bodytext2">
    <w:name w:val="Body text|2_"/>
    <w:basedOn w:val="DefaultParagraphFont"/>
    <w:rsid w:val="00116FC6"/>
    <w:rPr>
      <w:b w:val="0"/>
      <w:bCs w:val="0"/>
      <w:i w:val="0"/>
      <w:iCs w:val="0"/>
      <w:smallCaps w:val="0"/>
      <w:strike w:val="0"/>
      <w:sz w:val="22"/>
      <w:szCs w:val="22"/>
      <w:u w:val="none"/>
    </w:rPr>
  </w:style>
  <w:style w:type="character" w:customStyle="1" w:styleId="Bodytext20">
    <w:name w:val="Body text|2"/>
    <w:basedOn w:val="Bodytext2"/>
    <w:semiHidden/>
    <w:unhideWhenUsed/>
    <w:rsid w:val="00116FC6"/>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l-SI" w:eastAsia="en-US" w:bidi="en-US"/>
    </w:rPr>
  </w:style>
  <w:style w:type="character" w:customStyle="1" w:styleId="Bodytext2Bold">
    <w:name w:val="Body text|2 + Bold"/>
    <w:basedOn w:val="Bodytext2"/>
    <w:semiHidden/>
    <w:unhideWhenUsed/>
    <w:rsid w:val="00116FC6"/>
    <w:rPr>
      <w:rFonts w:ascii="Times New Roman" w:eastAsia="Times New Roman" w:hAnsi="Times New Roman" w:cs="Times New Roman"/>
      <w:b/>
      <w:bCs/>
      <w:i w:val="0"/>
      <w:iCs w:val="0"/>
      <w:smallCaps w:val="0"/>
      <w:strike w:val="0"/>
      <w:color w:val="000000"/>
      <w:spacing w:val="0"/>
      <w:w w:val="100"/>
      <w:position w:val="0"/>
      <w:sz w:val="22"/>
      <w:szCs w:val="22"/>
      <w:u w:val="none"/>
      <w:lang w:val="sl-SI" w:eastAsia="en-US" w:bidi="en-US"/>
    </w:rPr>
  </w:style>
  <w:style w:type="character" w:customStyle="1" w:styleId="Bodytext5">
    <w:name w:val="Body text|5_"/>
    <w:basedOn w:val="DefaultParagraphFont"/>
    <w:link w:val="Bodytext50"/>
    <w:rsid w:val="00116FC6"/>
    <w:rPr>
      <w:b/>
      <w:bCs/>
      <w:shd w:val="clear" w:color="auto" w:fill="FFFFFF"/>
    </w:rPr>
  </w:style>
  <w:style w:type="paragraph" w:customStyle="1" w:styleId="Heading110">
    <w:name w:val="Heading #1|1"/>
    <w:basedOn w:val="Normal"/>
    <w:link w:val="Heading11"/>
    <w:qFormat/>
    <w:rsid w:val="00116FC6"/>
    <w:pPr>
      <w:shd w:val="clear" w:color="auto" w:fill="FFFFFF"/>
      <w:spacing w:after="320" w:line="402" w:lineRule="exact"/>
      <w:outlineLvl w:val="0"/>
    </w:pPr>
    <w:rPr>
      <w:rFonts w:ascii="Arial" w:eastAsia="Arial" w:hAnsi="Arial" w:cs="Arial"/>
      <w:b/>
      <w:bCs/>
      <w:color w:val="auto"/>
      <w:sz w:val="36"/>
      <w:szCs w:val="36"/>
      <w:lang w:val="en-US" w:bidi="ar-SA"/>
    </w:rPr>
  </w:style>
  <w:style w:type="paragraph" w:customStyle="1" w:styleId="Heading210">
    <w:name w:val="Heading #2|1"/>
    <w:basedOn w:val="Normal"/>
    <w:link w:val="Heading21"/>
    <w:qFormat/>
    <w:rsid w:val="00116FC6"/>
    <w:pPr>
      <w:shd w:val="clear" w:color="auto" w:fill="FFFFFF"/>
      <w:spacing w:before="320" w:line="244" w:lineRule="exact"/>
      <w:jc w:val="both"/>
      <w:outlineLvl w:val="1"/>
    </w:pPr>
    <w:rPr>
      <w:b/>
      <w:bCs/>
      <w:color w:val="auto"/>
      <w:sz w:val="22"/>
      <w:szCs w:val="22"/>
      <w:lang w:val="en-US" w:bidi="ar-SA"/>
    </w:rPr>
  </w:style>
  <w:style w:type="paragraph" w:customStyle="1" w:styleId="Bodytext50">
    <w:name w:val="Body text|5"/>
    <w:basedOn w:val="Normal"/>
    <w:link w:val="Bodytext5"/>
    <w:rsid w:val="00116FC6"/>
    <w:pPr>
      <w:shd w:val="clear" w:color="auto" w:fill="FFFFFF"/>
      <w:spacing w:before="120" w:after="120" w:line="244" w:lineRule="exact"/>
    </w:pPr>
    <w:rPr>
      <w:b/>
      <w:bCs/>
      <w:color w:val="auto"/>
      <w:sz w:val="22"/>
      <w:szCs w:val="22"/>
      <w:lang w:val="en-US" w:bidi="ar-SA"/>
    </w:rPr>
  </w:style>
  <w:style w:type="character" w:customStyle="1" w:styleId="FooterChar">
    <w:name w:val="Footer Char"/>
    <w:basedOn w:val="DefaultParagraphFont"/>
    <w:link w:val="Footer"/>
    <w:uiPriority w:val="99"/>
    <w:rsid w:val="00116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0"/>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CTJJHAUHWN5E-644613129-2895</_dlc_DocId>
    <_dlc_DocIdUrl xmlns="bfc960a6-20da-4c94-8684-71380fca093b">
      <Url>http://dm2016/eesc/2019/_layouts/15/DocIdRedir.aspx?ID=CTJJHAUHWN5E-644613129-2895</Url>
      <Description>CTJJHAUHWN5E-644613129-2895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63</Value>
      <Value>162</Value>
      <Value>72</Value>
      <Value>246</Value>
      <Value>154</Value>
      <Value>153</Value>
      <Value>152</Value>
      <Value>62</Value>
      <Value>60</Value>
      <Value>59</Value>
      <Value>58</Value>
      <Value>64</Value>
      <Value>56</Value>
      <Value>55</Value>
      <Value>52</Value>
      <Value>49</Value>
      <Value>48</Value>
      <Value>46</Value>
      <Value>45</Value>
      <Value>38</Value>
      <Value>65</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7D0E40-C4F5-42F8-A746-0A99A02F9685}"/>
</file>

<file path=customXml/itemProps2.xml><?xml version="1.0" encoding="utf-8"?>
<ds:datastoreItem xmlns:ds="http://schemas.openxmlformats.org/officeDocument/2006/customXml" ds:itemID="{C4C86AC7-5332-463D-8A2E-9524784FB75D}"/>
</file>

<file path=customXml/itemProps3.xml><?xml version="1.0" encoding="utf-8"?>
<ds:datastoreItem xmlns:ds="http://schemas.openxmlformats.org/officeDocument/2006/customXml" ds:itemID="{7B2F3A0F-1E02-4541-8F23-5093086E380A}"/>
</file>

<file path=customXml/itemProps4.xml><?xml version="1.0" encoding="utf-8"?>
<ds:datastoreItem xmlns:ds="http://schemas.openxmlformats.org/officeDocument/2006/customXml" ds:itemID="{EE3CA205-AA04-4D6E-B4A2-9327B48A532A}"/>
</file>

<file path=docProps/app.xml><?xml version="1.0" encoding="utf-8"?>
<Properties xmlns="http://schemas.openxmlformats.org/officeDocument/2006/extended-properties" xmlns:vt="http://schemas.openxmlformats.org/officeDocument/2006/docPropsVTypes">
  <Template>Styles</Template>
  <TotalTime>10</TotalTime>
  <Pages>3</Pages>
  <Words>1210</Words>
  <Characters>7132</Characters>
  <Application>Microsoft Office Word</Application>
  <DocSecurity>0</DocSecurity>
  <Lines>264</Lines>
  <Paragraphs>198</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Vaša Evropa, vaš glas 2020 - Delovni dokumenti - Skupina 6C - Države, ki se hitro vzpenjajo</dc:title>
  <dc:creator>Tina Logar</dc:creator>
  <cp:keywords>EESC-2019-05163-07-00-INFO-TRA-EN</cp:keywords>
  <dc:description>Rapporteur:  - Original language: EN - Date of document: 10/12/2019 - Date of meeting:  - External documents:  - Administrator: MME LAHOUSSE Chloé</dc:description>
  <cp:lastModifiedBy>ISIS\tloga</cp:lastModifiedBy>
  <cp:revision>15</cp:revision>
  <dcterms:created xsi:type="dcterms:W3CDTF">2019-12-10T09:05:00Z</dcterms:created>
  <dcterms:modified xsi:type="dcterms:W3CDTF">2019-12-10T09:15:00Z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0x010100EA97B91038054C99906057A708A1480A004A07B7D2C585754B97D3BEF52E07EE2D</vt:lpwstr>
  </property>
  <property fmtid="{D5CDD505-2E9C-101B-9397-08002B2CF9AE}" pid="3" name="_dlc_DocIdItemGuid">
    <vt:lpwstr>e6b4709e-62d3-4736-bb6b-dccc7cb738be</vt:lpwstr>
  </property>
  <property fmtid="{D5CDD505-2E9C-101B-9397-08002B2CF9AE}" pid="4" name="AvailableTranslations">
    <vt:lpwstr>16;#PL|1e03da61-4678-4e07-b136-b5024ca9197b;#62;#FI|87606a43-d45f-42d6-b8c9-e1a3457db5b7;#246;#ME|925b3da5-5ac0-4b3c-928c-6ef66a5c9b3c;#49;#EL|6d4f4d51-af9b-4650-94b4-4276bee85c91;#60;#HU|6b229040-c589-4408-b4c1-4285663d20a8;#153;#SR|7f3a1d13-b985-4bfd-981e-afe31377edff;#14;#DE|f6b31e5a-26fa-4935-b661-318e46daf27e;#58;#LV|46f7e311-5d9f-4663-b433-18aeccb7ace7;#64;#PT|50ccc04a-eadd-42ae-a0cb-acaf45f812ba;#21;#IT|0774613c-01ed-4e5d-a25d-11d2388de825;#45;#NL|55c6556c-b4f4-441d-9acf-c498d4f838bd;#59;#HR|2f555653-ed1a-4fe6-8362-9082d95989e5;#152;#MK|34ce48bb-063e-4413-a932-50853dc71c5c;#55;#BG|1a1b3951-7821-4e6a-85f5-5673fc08bd2c;#52;#DA|5d49c027-8956-412b-aa16-e85a0f96ad0e;#65;#ET|ff6c3f4c-b02c-4c3c-ab07-2c37995a7a0a;#10;#FR|d2afafd3-4c81-4f60-8f52-ee33f2f54ff3;#154;#SQ|5ac17240-8d11-45ec-9893-659b209d7a00;#72;#GA|762d2456-c427-4ecb-b312-af3dad8e258c;#46;#CS|72f9705b-0217-4fd3-bea2-cbc7ed80e26e;#162;#TR|6e4ededd-04c4-4fa0-94e0-1028050302d5;#48;#LT|a7ff5ce7-6123-4f68-865a-a57c31810414;#4;#EN|f2175f21-25d7-44a3-96da-d6a61b075e1b;#38;#SV|c2ed69e7-a339-43d7-8f22-d93680a92aa0;#17;#ES|e7a6b05b-ae16-40c8-add9-68b64b03aeba;#63;#MT|7df99101-6854-4a26-b53a-b88c0da02c26;#56;#SL|98a412ae-eb01-49e9-ae3d-585a81724cfc;#25;#SK|46d9fce0-ef79-4f71-b89b-cd6aa82426b8</vt:lpwstr>
  </property>
  <property fmtid="{D5CDD505-2E9C-101B-9397-08002B2CF9AE}" pid="5" name="DocumentType_0">
    <vt:lpwstr>INFO|d9136e7c-93a9-4c42-9d28-92b61e85f80c</vt:lpwstr>
  </property>
  <property fmtid="{D5CDD505-2E9C-101B-9397-08002B2CF9AE}" pid="6" name="DossierName_0">
    <vt:lpwstr/>
  </property>
  <property fmtid="{D5CDD505-2E9C-101B-9397-08002B2CF9AE}" pid="7" name="DocumentSource_0">
    <vt:lpwstr>EESC|422833ec-8d7e-4e65-8e4e-8bed07ffb729</vt:lpwstr>
  </property>
  <property fmtid="{D5CDD505-2E9C-101B-9397-08002B2CF9AE}" pid="8" name="DocumentNumber">
    <vt:i4>5163</vt:i4>
  </property>
  <property fmtid="{D5CDD505-2E9C-101B-9397-08002B2CF9AE}" pid="9" name="FicheYear">
    <vt:i4>2019</vt:i4>
  </property>
  <property fmtid="{D5CDD505-2E9C-101B-9397-08002B2CF9AE}" pid="10" name="DocumentYear">
    <vt:i4>2019</vt:i4>
  </property>
  <property fmtid="{D5CDD505-2E9C-101B-9397-08002B2CF9AE}" pid="11" name="DocumentVersion">
    <vt:i4>0</vt:i4>
  </property>
  <property fmtid="{D5CDD505-2E9C-101B-9397-08002B2CF9AE}" pid="12" name="FicheNumber">
    <vt:i4>11390</vt:i4>
  </property>
  <property fmtid="{D5CDD505-2E9C-101B-9397-08002B2CF9AE}" pid="13" name="DocumentStatus">
    <vt:lpwstr>2;#TRA|150d2a88-1431-44e6-a8ca-0bb753ab8672</vt:lpwstr>
  </property>
  <property fmtid="{D5CDD505-2E9C-101B-9397-08002B2CF9AE}" pid="14" name="DocumentPart">
    <vt:i4>7</vt:i4>
  </property>
  <property fmtid="{D5CDD505-2E9C-101B-9397-08002B2CF9AE}" pid="15" name="DossierName">
    <vt:lpwstr/>
  </property>
  <property fmtid="{D5CDD505-2E9C-101B-9397-08002B2CF9AE}" pid="16" name="DocumentSource">
    <vt:lpwstr>1;#EESC|422833ec-8d7e-4e65-8e4e-8bed07ffb729</vt:lpwstr>
  </property>
  <property fmtid="{D5CDD505-2E9C-101B-9397-08002B2CF9AE}" pid="18" name="DocumentType">
    <vt:lpwstr>11;#INFO|d9136e7c-93a9-4c42-9d28-92b61e85f80c</vt:lpwstr>
  </property>
  <property fmtid="{D5CDD505-2E9C-101B-9397-08002B2CF9AE}" pid="19" name="RequestingService">
    <vt:lpwstr>Visites / Publications</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4;#EN|f2175f21-25d7-44a3-96da-d6a61b075e1b</vt:lpwstr>
  </property>
  <property fmtid="{D5CDD505-2E9C-101B-9397-08002B2CF9AE}" pid="24" name="MeetingName">
    <vt:lpwstr/>
  </property>
  <property fmtid="{D5CDD505-2E9C-101B-9397-08002B2CF9AE}" pid="26" name="AvailableTranslations_0">
    <vt:lpwstr>PL|1e03da61-4678-4e07-b136-b5024ca9197b;FI|87606a43-d45f-42d6-b8c9-e1a3457db5b7;ME|925b3da5-5ac0-4b3c-928c-6ef66a5c9b3c;EL|6d4f4d51-af9b-4650-94b4-4276bee85c91;HU|6b229040-c589-4408-b4c1-4285663d20a8;SR|7f3a1d13-b985-4bfd-981e-afe31377edff;IT|0774613c-01ed-4e5d-a25d-11d2388de825;NL|55c6556c-b4f4-441d-9acf-c498d4f838bd;MK|34ce48bb-063e-4413-a932-50853dc71c5c;BG|1a1b3951-7821-4e6a-85f5-5673fc08bd2c;DA|5d49c027-8956-412b-aa16-e85a0f96ad0e;SQ|5ac17240-8d11-45ec-9893-659b209d7a00;GA|762d2456-c427-4ecb-b312-af3dad8e258c;CS|72f9705b-0217-4fd3-bea2-cbc7ed80e26e;TR|6e4ededd-04c4-4fa0-94e0-1028050302d5;LT|a7ff5ce7-6123-4f68-865a-a57c31810414;EN|f2175f21-25d7-44a3-96da-d6a61b075e1b;ES|e7a6b05b-ae16-40c8-add9-68b64b03aeba;MT|7df99101-6854-4a26-b53a-b88c0da02c26;SK|46d9fce0-ef79-4f71-b89b-cd6aa82426b8</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48;#LT|a7ff5ce7-6123-4f68-865a-a57c31810414;#72;#GA|762d2456-c427-4ecb-b312-af3dad8e258c;#7;#Final|ea5e6674-7b27-4bac-b091-73adbb394efe;#55;#BG|1a1b3951-7821-4e6a-85f5-5673fc08bd2c;#63;#MT|7df99101-6854-4a26-b53a-b88c0da02c26;#62;#FI|87606a43-d45f-42d6-b8c9-e1a3457db5b7;#246;#ME|925b3da5-5ac0-4b3c-928c-6ef66a5c9b3c;#60;#HU|6b229040-c589-4408-b4c1-4285663d20a8;#21;#IT|0774613c-01ed-4e5d-a25d-11d2388de825;#152;#MK|34ce48bb-063e-4413-a932-50853dc71c5c;#17;#ES|e7a6b05b-ae16-40c8-add9-68b64b03aeba;#16;#PL|1e03da61-4678-4e07-b136-b5024ca9197b;#52;#DA|5d49c027-8956-412b-aa16-e85a0f96ad0e;#162;#TR|6e4ededd-04c4-4fa0-94e0-1028050302d5;#49;#EL|6d4f4d51-af9b-4650-94b4-4276bee85c91;#11;#INFO|d9136e7c-93a9-4c42-9d28-92b61e85f80c;#46;#CS|72f9705b-0217-4fd3-bea2-cbc7ed80e26e;#45;#NL|55c6556c-b4f4-441d-9acf-c498d4f838bd;#5;#Unrestricted|826e22d7-d029-4ec0-a450-0c28ff673572;#154;#SQ|5ac17240-8d11-45ec-9893-659b209d7a00;#153;#SR|7f3a1d13-b985-4bfd-981e-afe31377edff;#4;#EN|f2175f21-25d7-44a3-96da-d6a61b075e1b;#2;#TRA|150d2a88-1431-44e6-a8ca-0bb753ab8672;#1;#EESC|422833ec-8d7e-4e65-8e4e-8bed07ffb729;#25;#SK|46d9fce0-ef79-4f71-b89b-cd6aa82426b8</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Language">
    <vt:lpwstr>56;#SL|98a412ae-eb01-49e9-ae3d-585a81724cfc</vt:lpwstr>
  </property>
</Properties>
</file>